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28"/>
          <w:szCs w:val="36"/>
          <w:lang w:val="en-US" w:eastAsia="zh-CN"/>
        </w:rPr>
      </w:pPr>
      <w:r>
        <w:rPr>
          <w:rFonts w:hint="eastAsia" w:ascii="方正小标宋简体" w:hAnsi="方正小标宋简体" w:eastAsia="方正小标宋简体" w:cs="方正小标宋简体"/>
          <w:sz w:val="28"/>
          <w:szCs w:val="36"/>
          <w:lang w:val="en-US" w:eastAsia="zh-CN"/>
        </w:rPr>
        <w:t>研究生综合业务系统缓考申请模块操作指南及注意事项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缓考申请：</w:t>
      </w:r>
      <w:r>
        <w:rPr>
          <w:rFonts w:hint="eastAsia"/>
          <w:lang w:val="en-US" w:eastAsia="zh-CN"/>
        </w:rPr>
        <w:t>研究生因病或其他特殊情况无法按时参加考试申请缓考的，需在考试前办理缓考申请。研究生在研究生综合管理信息系统中发起缓考申请，申请须经导师、任课教师、开课学院批准后方可生效。除此以外，一般不准申请缓考。</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lang w:val="en-US" w:eastAsia="zh-CN"/>
        </w:rPr>
      </w:pPr>
      <w:r>
        <w:rPr>
          <w:rFonts w:hint="eastAsia"/>
          <w:b/>
          <w:bCs/>
          <w:lang w:val="en-US" w:eastAsia="zh-CN"/>
        </w:rPr>
        <w:t>审批流程：</w:t>
      </w:r>
      <w:r>
        <w:rPr>
          <w:rFonts w:hint="eastAsia"/>
          <w:lang w:val="en-US" w:eastAsia="zh-CN"/>
        </w:rPr>
        <w:t>研究生申请缓考→导师审核通过→任课教师审核通过→开课学院审核通过→成功申请缓考。</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eastAsiaTheme="minorEastAsia"/>
          <w:lang w:val="en-US" w:eastAsia="zh-CN"/>
        </w:rPr>
      </w:pPr>
      <w:r>
        <w:rPr>
          <w:rFonts w:hint="eastAsia"/>
          <w:b/>
          <w:bCs/>
          <w:lang w:val="en-US" w:eastAsia="zh-CN"/>
        </w:rPr>
        <w:t>学生端操作：</w:t>
      </w:r>
      <w:r>
        <w:rPr>
          <w:rFonts w:hint="eastAsia"/>
          <w:lang w:val="en-US" w:eastAsia="zh-CN"/>
        </w:rPr>
        <w:t>点击“课程及成绩”→将“学年”“学期”切换至“2022年秋季学期”→点击“查询”出现该学期的选课列表→在拟申请缓考的课程条目“操作”列点击“申请缓考”→弹出的界面填写相关信息后即可申请。</w:t>
      </w:r>
    </w:p>
    <w:p>
      <w:pPr>
        <w:rPr>
          <w:rFonts w:hint="eastAsia" w:eastAsiaTheme="minorEastAsia"/>
          <w:lang w:eastAsia="zh-CN"/>
        </w:rPr>
      </w:pPr>
      <w:r>
        <w:rPr>
          <w:rFonts w:hint="eastAsia" w:eastAsiaTheme="minorEastAsia"/>
          <w:lang w:eastAsia="zh-CN"/>
        </w:rPr>
        <w:drawing>
          <wp:anchor distT="0" distB="0" distL="114935" distR="114935" simplePos="0" relativeHeight="251659264" behindDoc="0" locked="0" layoutInCell="1" allowOverlap="1">
            <wp:simplePos x="0" y="0"/>
            <wp:positionH relativeFrom="column">
              <wp:posOffset>9525</wp:posOffset>
            </wp:positionH>
            <wp:positionV relativeFrom="paragraph">
              <wp:posOffset>70485</wp:posOffset>
            </wp:positionV>
            <wp:extent cx="5261610" cy="1834515"/>
            <wp:effectExtent l="9525" t="9525" r="17145" b="15240"/>
            <wp:wrapTopAndBottom/>
            <wp:docPr id="1" name="图片 1" descr="cebb35b4017f812d9d75ff303c11b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ebb35b4017f812d9d75ff303c11b37"/>
                    <pic:cNvPicPr>
                      <a:picLocks noChangeAspect="1"/>
                    </pic:cNvPicPr>
                  </pic:nvPicPr>
                  <pic:blipFill>
                    <a:blip r:embed="rId4"/>
                    <a:stretch>
                      <a:fillRect/>
                    </a:stretch>
                  </pic:blipFill>
                  <pic:spPr>
                    <a:xfrm>
                      <a:off x="0" y="0"/>
                      <a:ext cx="5261610" cy="1834515"/>
                    </a:xfrm>
                    <a:prstGeom prst="rect">
                      <a:avLst/>
                    </a:prstGeom>
                    <a:ln>
                      <a:solidFill>
                        <a:schemeClr val="bg1">
                          <a:lumMod val="50000"/>
                        </a:schemeClr>
                      </a:solid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t>导师及任课教师端操作：</w:t>
      </w:r>
      <w:r>
        <w:rPr>
          <w:rFonts w:hint="eastAsia"/>
          <w:lang w:val="en-US" w:eastAsia="zh-CN"/>
        </w:rPr>
        <w:t>点击“成绩管理”“缓考审核”→将“学年”“学期”切换至“2022年秋季学期”→点击“查询”后，“待审核”界面出现该学期的学生缓考申请列表→勾选拟申审批的学生申请条目点击“批量操作”即可进行审批。</w:t>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b/>
          <w:bCs/>
          <w:lang w:val="en-US" w:eastAsia="zh-CN"/>
        </w:rPr>
        <w:drawing>
          <wp:anchor distT="0" distB="0" distL="114935" distR="114935" simplePos="0" relativeHeight="251660288" behindDoc="0" locked="0" layoutInCell="1" allowOverlap="1">
            <wp:simplePos x="0" y="0"/>
            <wp:positionH relativeFrom="column">
              <wp:posOffset>9525</wp:posOffset>
            </wp:positionH>
            <wp:positionV relativeFrom="paragraph">
              <wp:posOffset>9525</wp:posOffset>
            </wp:positionV>
            <wp:extent cx="5266690" cy="1750060"/>
            <wp:effectExtent l="9525" t="9525" r="12065" b="23495"/>
            <wp:wrapTopAndBottom/>
            <wp:docPr id="2" name="图片 2" descr="167704711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77047118474"/>
                    <pic:cNvPicPr>
                      <a:picLocks noChangeAspect="1"/>
                    </pic:cNvPicPr>
                  </pic:nvPicPr>
                  <pic:blipFill>
                    <a:blip r:embed="rId5"/>
                    <a:stretch>
                      <a:fillRect/>
                    </a:stretch>
                  </pic:blipFill>
                  <pic:spPr>
                    <a:xfrm>
                      <a:off x="0" y="0"/>
                      <a:ext cx="5266690" cy="1750060"/>
                    </a:xfrm>
                    <a:prstGeom prst="rect">
                      <a:avLst/>
                    </a:prstGeom>
                    <a:ln>
                      <a:solidFill>
                        <a:schemeClr val="bg1">
                          <a:lumMod val="50000"/>
                        </a:schemeClr>
                      </a:solidFill>
                    </a:ln>
                  </pic:spPr>
                </pic:pic>
              </a:graphicData>
            </a:graphic>
          </wp:anchor>
        </w:drawing>
      </w:r>
      <w:r>
        <w:rPr>
          <w:rFonts w:hint="eastAsia"/>
          <w:b/>
          <w:bCs/>
          <w:lang w:val="en-US" w:eastAsia="zh-CN"/>
        </w:rPr>
        <w:t>学院（研究生秘书）端操作：</w:t>
      </w:r>
      <w:r>
        <w:rPr>
          <w:rFonts w:hint="eastAsia"/>
          <w:lang w:val="en-US" w:eastAsia="zh-CN"/>
        </w:rPr>
        <w:t>点击“成绩管理”“课程缓考审核”→将“学年”“学期”切换至“2022年秋季学期”→点击“查询”后，“待审核”界面出现该学期的学生缓考申请列表→勾选拟申审批的学生申请条目点击“批量操作”即可进行审批。</w:t>
      </w:r>
    </w:p>
    <w:p>
      <w:pPr>
        <w:ind w:firstLine="420" w:firstLineChars="200"/>
        <w:rPr>
          <w:rFonts w:hint="eastAsia"/>
          <w:lang w:val="en-US" w:eastAsia="zh-CN"/>
        </w:rPr>
      </w:pPr>
      <w:r>
        <w:rPr>
          <w:rFonts w:hint="eastAsia"/>
          <w:lang w:val="en-US" w:eastAsia="zh-CN"/>
        </w:rPr>
        <w:t>如有同学向开课学院提交符合要求的纸质版缓考申请表，学院可在此模块点击“添加缓考学生”将学生维护进缓考名单中，以便后续录入缓考成绩或查询信息。</w:t>
      </w:r>
    </w:p>
    <w:p>
      <w:pPr>
        <w:ind w:firstLine="422" w:firstLineChars="200"/>
        <w:rPr>
          <w:rFonts w:hint="default"/>
          <w:lang w:val="en-US" w:eastAsia="zh-CN"/>
        </w:rPr>
      </w:pPr>
      <w:r>
        <w:rPr>
          <w:rFonts w:hint="eastAsia"/>
          <w:b/>
          <w:bCs/>
          <w:color w:val="FF0000"/>
          <w:lang w:val="en-US" w:eastAsia="zh-CN"/>
        </w:rPr>
        <w:t>【</w:t>
      </w:r>
      <w:r>
        <w:rPr>
          <w:rFonts w:hint="default" w:ascii="Times New Roman" w:hAnsi="Times New Roman" w:cs="Times New Roman"/>
          <w:b/>
          <w:bCs/>
          <w:color w:val="FF0000"/>
          <w:lang w:val="en-US" w:eastAsia="zh-CN"/>
        </w:rPr>
        <w:t>New</w:t>
      </w:r>
      <w:r>
        <w:rPr>
          <w:rFonts w:hint="eastAsia"/>
          <w:b/>
          <w:bCs/>
          <w:color w:val="FF0000"/>
          <w:lang w:val="en-US" w:eastAsia="zh-CN"/>
        </w:rPr>
        <w:t>】</w:t>
      </w:r>
      <w:r>
        <w:rPr>
          <w:rFonts w:hint="eastAsia"/>
          <w:b/>
          <w:bCs/>
          <w:lang w:val="en-US" w:eastAsia="zh-CN"/>
        </w:rPr>
        <w:t>缓考成绩录入：</w:t>
      </w:r>
      <w:r>
        <w:rPr>
          <w:rFonts w:hint="eastAsia"/>
          <w:lang w:val="en-US" w:eastAsia="zh-CN"/>
        </w:rPr>
        <w:t>经批准</w:t>
      </w:r>
      <w:r>
        <w:rPr>
          <w:rFonts w:hint="eastAsia"/>
          <w:lang w:val="en-US" w:eastAsia="zh-CN"/>
        </w:rPr>
        <w:t>缓考参加考试后成绩录入点击“成绩管理”“维护成绩”栏目→点击“缓考成绩录入”→根据学生缓考的学年学期及相关信息检索出学生已经审批的缓考记录，将学生成绩录入即可。</w:t>
      </w:r>
      <w:bookmarkStart w:id="0" w:name="_GoBack"/>
      <w:bookmarkEnd w:id="0"/>
    </w:p>
    <w:p>
      <w:pPr>
        <w:rPr>
          <w:rFonts w:hint="eastAsia"/>
          <w:b/>
          <w:bCs/>
          <w:lang w:val="en-US" w:eastAsia="zh-CN"/>
        </w:rPr>
      </w:pPr>
      <w:r>
        <w:rPr>
          <w:rFonts w:hint="eastAsia"/>
          <w:lang w:val="en-US" w:eastAsia="zh-CN"/>
        </w:rPr>
        <w:drawing>
          <wp:inline distT="0" distB="0" distL="114300" distR="114300">
            <wp:extent cx="5266690" cy="1522730"/>
            <wp:effectExtent l="9525" t="9525" r="12065" b="22225"/>
            <wp:docPr id="5" name="图片 5" descr="1677048209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77048209312"/>
                    <pic:cNvPicPr>
                      <a:picLocks noChangeAspect="1"/>
                    </pic:cNvPicPr>
                  </pic:nvPicPr>
                  <pic:blipFill>
                    <a:blip r:embed="rId6"/>
                    <a:stretch>
                      <a:fillRect/>
                    </a:stretch>
                  </pic:blipFill>
                  <pic:spPr>
                    <a:xfrm>
                      <a:off x="0" y="0"/>
                      <a:ext cx="5266690" cy="1522730"/>
                    </a:xfrm>
                    <a:prstGeom prst="rect">
                      <a:avLst/>
                    </a:prstGeom>
                    <a:ln>
                      <a:solidFill>
                        <a:schemeClr val="bg1">
                          <a:lumMod val="50000"/>
                        </a:schemeClr>
                      </a:solidFill>
                    </a:ln>
                  </pic:spPr>
                </pic:pic>
              </a:graphicData>
            </a:graphic>
          </wp:inline>
        </w:drawing>
      </w:r>
      <w:r>
        <w:rPr>
          <w:rFonts w:hint="eastAsia"/>
          <w:lang w:val="en-US" w:eastAsia="zh-CN"/>
        </w:rPr>
        <w:drawing>
          <wp:anchor distT="0" distB="0" distL="114935" distR="114935" simplePos="0" relativeHeight="251661312" behindDoc="0" locked="0" layoutInCell="1" allowOverlap="1">
            <wp:simplePos x="0" y="0"/>
            <wp:positionH relativeFrom="column">
              <wp:posOffset>-5715</wp:posOffset>
            </wp:positionH>
            <wp:positionV relativeFrom="paragraph">
              <wp:posOffset>103505</wp:posOffset>
            </wp:positionV>
            <wp:extent cx="5273675" cy="2074545"/>
            <wp:effectExtent l="9525" t="9525" r="20320" b="19050"/>
            <wp:wrapTopAndBottom/>
            <wp:docPr id="4" name="图片 4" descr="5ae9b04d9fa661fe145bcdfcfa462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ae9b04d9fa661fe145bcdfcfa462a9"/>
                    <pic:cNvPicPr>
                      <a:picLocks noChangeAspect="1"/>
                    </pic:cNvPicPr>
                  </pic:nvPicPr>
                  <pic:blipFill>
                    <a:blip r:embed="rId7"/>
                    <a:srcRect b="8436"/>
                    <a:stretch>
                      <a:fillRect/>
                    </a:stretch>
                  </pic:blipFill>
                  <pic:spPr>
                    <a:xfrm>
                      <a:off x="0" y="0"/>
                      <a:ext cx="5273675" cy="2074545"/>
                    </a:xfrm>
                    <a:prstGeom prst="rect">
                      <a:avLst/>
                    </a:prstGeom>
                    <a:ln>
                      <a:solidFill>
                        <a:schemeClr val="bg1">
                          <a:lumMod val="50000"/>
                        </a:schemeClr>
                      </a:solidFill>
                    </a:ln>
                  </pic:spPr>
                </pic:pic>
              </a:graphicData>
            </a:graphic>
          </wp:anchor>
        </w:drawing>
      </w: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default"/>
          <w:b/>
          <w:bCs/>
          <w:lang w:val="en-US" w:eastAsia="zh-CN"/>
        </w:rPr>
      </w:pPr>
      <w:r>
        <w:rPr>
          <w:rFonts w:hint="eastAsia"/>
          <w:b/>
          <w:bCs/>
          <w:lang w:val="en-US" w:eastAsia="zh-CN"/>
        </w:rPr>
        <w:t>注意事项：</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1.当前学期为2023年春季学期，拟申请上学期课程缓考，请务必切换学年学期。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2.学生申请后，后一审批节点审批通过后，才会出现在下一审批人的“待审核”界面，流程不可逆。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3.申请缓考此次考试，请务必留意下次考试的组织时间，在开考前两周内务必到开课学院办理考试手续，以免因学分未修够导致无法毕业申请学位等。</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wMzI1MjUzN2I5YTMyYThmNzczOWI3M2RmYjk4MTEifQ=="/>
  </w:docVars>
  <w:rsids>
    <w:rsidRoot w:val="489B67CC"/>
    <w:rsid w:val="489B6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2023-02-22T06:05:00Z</dcterms:created>
  <dc:creator> ..Zhao❄灰灰</dc:creator>
  <cp:lastModifiedBy> ..Zhao❄灰灰</cp:lastModifiedBy>
  <dcterms:modified xsi:type="dcterms:W3CDTF">2023-02-22T07:00:33Z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CED3481CE316484B9105CA0ED8C1FEB0</vt:lpwstr>
  </property>
</Properties>
</file>