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D2012D">
      <w:pPr>
        <w:jc w:val="center"/>
        <w:rPr>
          <w:rFonts w:ascii="微软雅黑" w:hAnsi="微软雅黑" w:eastAsia="微软雅黑" w:cs="微软雅黑"/>
          <w:b/>
          <w:bCs/>
          <w:sz w:val="44"/>
          <w:szCs w:val="44"/>
        </w:rPr>
      </w:pPr>
    </w:p>
    <w:p w14:paraId="66A0A389">
      <w:pPr>
        <w:jc w:val="center"/>
        <w:rPr>
          <w:rFonts w:ascii="微软雅黑" w:hAnsi="微软雅黑" w:eastAsia="微软雅黑" w:cs="微软雅黑"/>
          <w:b/>
          <w:bCs/>
          <w:sz w:val="44"/>
          <w:szCs w:val="44"/>
        </w:rPr>
      </w:pPr>
    </w:p>
    <w:p w14:paraId="05D8F6F8">
      <w:pPr>
        <w:jc w:val="center"/>
        <w:rPr>
          <w:rFonts w:ascii="微软雅黑" w:hAnsi="微软雅黑" w:eastAsia="微软雅黑" w:cs="微软雅黑"/>
          <w:b/>
          <w:bCs/>
          <w:sz w:val="44"/>
          <w:szCs w:val="44"/>
        </w:rPr>
      </w:pPr>
    </w:p>
    <w:p w14:paraId="1EBEB162">
      <w:pPr>
        <w:adjustRightInd w:val="0"/>
        <w:snapToGrid w:val="0"/>
        <w:jc w:val="center"/>
        <w:rPr>
          <w:rFonts w:ascii="微软雅黑" w:hAnsi="微软雅黑" w:eastAsia="微软雅黑" w:cs="微软雅黑"/>
          <w:sz w:val="56"/>
          <w:szCs w:val="56"/>
        </w:rPr>
      </w:pPr>
      <w:r>
        <w:rPr>
          <w:rFonts w:hint="eastAsia" w:ascii="微软雅黑" w:hAnsi="微软雅黑" w:eastAsia="微软雅黑" w:cs="微软雅黑"/>
          <w:sz w:val="56"/>
          <w:szCs w:val="56"/>
        </w:rPr>
        <w:t>“研综系统”助研津贴操作流程</w:t>
      </w:r>
    </w:p>
    <w:p w14:paraId="24162522">
      <w:pPr>
        <w:rPr>
          <w:rFonts w:ascii="黑体" w:hAnsi="黑体" w:eastAsia="黑体"/>
          <w:sz w:val="72"/>
          <w:szCs w:val="72"/>
        </w:rPr>
      </w:pPr>
    </w:p>
    <w:p w14:paraId="4C045636">
      <w:pPr>
        <w:jc w:val="center"/>
        <w:rPr>
          <w:rFonts w:ascii="方正小标宋简体" w:hAnsi="方正小标宋简体" w:eastAsia="方正小标宋简体" w:cs="方正小标宋简体"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</w:rPr>
        <w:t>导师部分</w:t>
      </w:r>
    </w:p>
    <w:p w14:paraId="2ABD37DD"/>
    <w:p w14:paraId="32BABCBA">
      <w:pPr>
        <w:jc w:val="left"/>
      </w:pPr>
    </w:p>
    <w:p w14:paraId="0E367842">
      <w:pPr>
        <w:jc w:val="center"/>
        <w:rPr>
          <w:rFonts w:hint="eastAsia" w:eastAsiaTheme="minorEastAsia"/>
          <w:lang w:eastAsia="zh-CN"/>
        </w:rPr>
      </w:pPr>
      <w:bookmarkStart w:id="8" w:name="_GoBack"/>
      <w:bookmarkEnd w:id="8"/>
    </w:p>
    <w:p w14:paraId="2177D32B">
      <w:pPr>
        <w:jc w:val="left"/>
      </w:pPr>
    </w:p>
    <w:p w14:paraId="69DECFD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sdt>
      <w:sdtPr>
        <w:rPr>
          <w:rFonts w:ascii="宋体" w:hAnsi="宋体" w:eastAsia="宋体"/>
        </w:rPr>
        <w:id w:val="147481614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/>
        </w:rPr>
      </w:sdtEndPr>
      <w:sdtContent>
        <w:p w14:paraId="690E4E3C">
          <w:pPr>
            <w:jc w:val="center"/>
            <w:rPr>
              <w:rFonts w:ascii="黑体" w:hAnsi="黑体" w:eastAsia="黑体"/>
            </w:rPr>
          </w:pPr>
          <w:r>
            <w:rPr>
              <w:rFonts w:ascii="黑体" w:hAnsi="黑体" w:eastAsia="黑体"/>
            </w:rPr>
            <w:t>目</w:t>
          </w:r>
          <w:r>
            <w:rPr>
              <w:rFonts w:hint="eastAsia" w:ascii="黑体" w:hAnsi="黑体" w:eastAsia="黑体"/>
            </w:rPr>
            <w:t xml:space="preserve"> </w:t>
          </w:r>
          <w:r>
            <w:rPr>
              <w:rFonts w:ascii="黑体" w:hAnsi="黑体" w:eastAsia="黑体"/>
            </w:rPr>
            <w:t xml:space="preserve"> 录</w:t>
          </w:r>
        </w:p>
        <w:p w14:paraId="5E24A373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_Toc1930 </w:instrText>
          </w:r>
          <w:r>
            <w:fldChar w:fldCharType="separate"/>
          </w:r>
          <w:r>
            <w:rPr>
              <w:rFonts w:hint="eastAsia"/>
              <w:szCs w:val="28"/>
            </w:rPr>
            <w:t>一、 登录系统</w:t>
          </w:r>
          <w:r>
            <w:tab/>
          </w:r>
          <w:r>
            <w:fldChar w:fldCharType="begin"/>
          </w:r>
          <w:r>
            <w:instrText xml:space="preserve"> PAGEREF _Toc1930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 w14:paraId="10126CED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_Toc24640 </w:instrText>
          </w:r>
          <w:r>
            <w:fldChar w:fldCharType="separate"/>
          </w:r>
          <w:r>
            <w:rPr>
              <w:rFonts w:hint="eastAsia"/>
              <w:szCs w:val="28"/>
            </w:rPr>
            <w:t>二、 进入助研津贴模块</w:t>
          </w:r>
          <w:r>
            <w:tab/>
          </w:r>
          <w:r>
            <w:fldChar w:fldCharType="begin"/>
          </w:r>
          <w:r>
            <w:instrText xml:space="preserve"> PAGEREF _Toc24640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 w14:paraId="3808A1D0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_Toc2401 </w:instrText>
          </w:r>
          <w:r>
            <w:fldChar w:fldCharType="separate"/>
          </w:r>
          <w:r>
            <w:rPr>
              <w:rFonts w:hint="eastAsia"/>
              <w:szCs w:val="28"/>
            </w:rPr>
            <w:t>三、 助研津贴启发</w:t>
          </w:r>
          <w:r>
            <w:tab/>
          </w:r>
          <w:r>
            <w:fldChar w:fldCharType="begin"/>
          </w:r>
          <w:r>
            <w:instrText xml:space="preserve"> PAGEREF _Toc2401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 w14:paraId="422ECCBA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_Toc24482 </w:instrText>
          </w:r>
          <w:r>
            <w:fldChar w:fldCharType="separate"/>
          </w:r>
          <w:r>
            <w:rPr>
              <w:rFonts w:hint="eastAsia"/>
              <w:szCs w:val="28"/>
            </w:rPr>
            <w:t>四、 添加其他学生</w:t>
          </w:r>
          <w:r>
            <w:tab/>
          </w:r>
          <w:r>
            <w:fldChar w:fldCharType="begin"/>
          </w:r>
          <w:r>
            <w:instrText xml:space="preserve"> PAGEREF _Toc24482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 w14:paraId="722BF4DA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_Toc26020 </w:instrText>
          </w:r>
          <w:r>
            <w:fldChar w:fldCharType="separate"/>
          </w:r>
          <w:r>
            <w:rPr>
              <w:rFonts w:hint="eastAsia"/>
              <w:szCs w:val="28"/>
            </w:rPr>
            <w:t>五、 提交到学院审核</w:t>
          </w:r>
          <w:r>
            <w:tab/>
          </w:r>
          <w:r>
            <w:fldChar w:fldCharType="begin"/>
          </w:r>
          <w:r>
            <w:instrText xml:space="preserve"> PAGEREF _Toc26020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47EFA35A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_Toc64 </w:instrText>
          </w:r>
          <w:r>
            <w:fldChar w:fldCharType="separate"/>
          </w:r>
          <w:r>
            <w:rPr>
              <w:rFonts w:hint="eastAsia"/>
              <w:szCs w:val="28"/>
            </w:rPr>
            <w:t>六、 数据修改/删除</w:t>
          </w:r>
          <w:r>
            <w:tab/>
          </w:r>
          <w:r>
            <w:fldChar w:fldCharType="begin"/>
          </w:r>
          <w:r>
            <w:instrText xml:space="preserve"> PAGEREF _Toc64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4589D9FF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_Toc5561 </w:instrText>
          </w:r>
          <w:r>
            <w:fldChar w:fldCharType="separate"/>
          </w:r>
          <w:r>
            <w:rPr>
              <w:rFonts w:hint="eastAsia"/>
              <w:szCs w:val="28"/>
            </w:rPr>
            <w:t>七、 发放记录查看</w:t>
          </w:r>
          <w:r>
            <w:tab/>
          </w:r>
          <w:r>
            <w:fldChar w:fldCharType="begin"/>
          </w:r>
          <w:r>
            <w:instrText xml:space="preserve"> PAGEREF _Toc5561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2C06AE23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_Toc9174 </w:instrText>
          </w:r>
          <w:r>
            <w:fldChar w:fldCharType="separate"/>
          </w:r>
          <w:r>
            <w:rPr>
              <w:rFonts w:hint="eastAsia"/>
              <w:szCs w:val="28"/>
            </w:rPr>
            <w:t>八、 系统助理设置</w:t>
          </w:r>
          <w:r>
            <w:tab/>
          </w:r>
          <w:r>
            <w:fldChar w:fldCharType="begin"/>
          </w:r>
          <w:r>
            <w:instrText xml:space="preserve"> PAGEREF _Toc9174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2BE85BDC">
          <w:pPr>
            <w:spacing w:line="360" w:lineRule="auto"/>
            <w:rPr>
              <w:rFonts w:ascii="宋体" w:hAnsi="宋体" w:eastAsia="宋体"/>
            </w:rPr>
          </w:pPr>
          <w:r>
            <w:fldChar w:fldCharType="end"/>
          </w:r>
        </w:p>
      </w:sdtContent>
    </w:sdt>
    <w:p w14:paraId="22CFCF03">
      <w:pPr>
        <w:spacing w:line="360" w:lineRule="auto"/>
        <w:sectPr>
          <w:head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3419476">
      <w:pPr>
        <w:pStyle w:val="2"/>
        <w:spacing w:before="156" w:beforeLines="50" w:after="156" w:afterLines="50"/>
        <w:ind w:firstLine="560" w:firstLineChars="200"/>
        <w:rPr>
          <w:sz w:val="28"/>
          <w:szCs w:val="28"/>
        </w:rPr>
      </w:pPr>
      <w:bookmarkStart w:id="0" w:name="_Toc1930"/>
      <w:r>
        <w:rPr>
          <w:rFonts w:hint="eastAsia"/>
          <w:sz w:val="28"/>
          <w:szCs w:val="28"/>
        </w:rPr>
        <w:t>登录系统</w:t>
      </w:r>
      <w:bookmarkEnd w:id="0"/>
    </w:p>
    <w:p w14:paraId="59DEB997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使用谷歌浏览器访问兰州大学个人工作台(</w:t>
      </w:r>
      <w:r>
        <w:fldChar w:fldCharType="begin"/>
      </w:r>
      <w:r>
        <w:instrText xml:space="preserve"> HYPERLINK "http://my.lzu.edu.cn" </w:instrText>
      </w:r>
      <w: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http://my.lzu.edu.cn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t>)网站，使用个人邮箱或校园卡号及邮箱密码登录。在工作台首页点击“研综系统”进入。</w:t>
      </w:r>
    </w:p>
    <w:p w14:paraId="0AA8F9D9">
      <w:r>
        <w:drawing>
          <wp:inline distT="0" distB="0" distL="0" distR="0">
            <wp:extent cx="6554470" cy="2110105"/>
            <wp:effectExtent l="0" t="0" r="17780" b="4445"/>
            <wp:docPr id="1" name="图片 1" descr="D:\下载\Desktop\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下载\Desktop\图片1.png图片1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84110" cy="211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612F6">
      <w:pPr>
        <w:pStyle w:val="2"/>
        <w:spacing w:before="156" w:beforeLines="50" w:after="156" w:afterLines="50"/>
        <w:ind w:firstLine="560" w:firstLineChars="200"/>
        <w:rPr>
          <w:sz w:val="28"/>
          <w:szCs w:val="28"/>
        </w:rPr>
      </w:pPr>
      <w:bookmarkStart w:id="1" w:name="_Toc24640"/>
      <w:r>
        <w:rPr>
          <w:rFonts w:hint="eastAsia"/>
          <w:sz w:val="28"/>
          <w:szCs w:val="28"/>
        </w:rPr>
        <w:t>进入助研津贴模块</w:t>
      </w:r>
      <w:bookmarkEnd w:id="1"/>
    </w:p>
    <w:p w14:paraId="3DD328FB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进入系统后，在左侧菜单列点击“奖助管理-助研津贴”进入助研津贴模块。助研津贴页面上侧显示导师当前助研账户的基本信息，登录后请确认此处信息是否正确，如有问题需联系学院进行导师助研账户设置。</w:t>
      </w:r>
    </w:p>
    <w:p w14:paraId="67BAE6EF">
      <w:pPr>
        <w:spacing w:after="312" w:afterLines="100" w:line="40" w:lineRule="atLeast"/>
      </w:pPr>
      <w:r>
        <w:drawing>
          <wp:inline distT="0" distB="0" distL="0" distR="0">
            <wp:extent cx="6645910" cy="188785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8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973CE">
      <w:pPr>
        <w:pStyle w:val="14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助研津贴页面下侧显示本学期该导师可启发助研津贴的学生名单。</w:t>
      </w:r>
    </w:p>
    <w:p w14:paraId="3014EEDE">
      <w:pPr>
        <w:spacing w:line="360" w:lineRule="auto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6645910" cy="225488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5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C6F7F">
      <w:pPr>
        <w:pStyle w:val="2"/>
        <w:spacing w:before="156" w:beforeLines="50" w:after="156" w:afterLines="50"/>
        <w:ind w:firstLine="560" w:firstLineChars="200"/>
        <w:rPr>
          <w:sz w:val="28"/>
          <w:szCs w:val="28"/>
        </w:rPr>
      </w:pPr>
      <w:bookmarkStart w:id="2" w:name="_Toc2401"/>
      <w:r>
        <w:rPr>
          <w:rFonts w:hint="eastAsia"/>
          <w:sz w:val="28"/>
          <w:szCs w:val="28"/>
        </w:rPr>
        <w:t>助研津贴启发</w:t>
      </w:r>
      <w:bookmarkEnd w:id="2"/>
    </w:p>
    <w:p w14:paraId="6A544475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导师可根据本学期各研究生参与助研工作情况，选择性点击“启发”按钮为相应学生配发助研津贴。系统默认启发当前学期6个月的助研津贴，并自动判断学生是否符合学校配套标准。导师可根据实际情况调整导师配套金额和发放起止月份，并点击“确认”完成启发。如助研账户余额不足则不能执行启发操作。</w:t>
      </w:r>
    </w:p>
    <w:p w14:paraId="3554574E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226695</wp:posOffset>
            </wp:positionH>
            <wp:positionV relativeFrom="paragraph">
              <wp:posOffset>144780</wp:posOffset>
            </wp:positionV>
            <wp:extent cx="2617470" cy="2727325"/>
            <wp:effectExtent l="0" t="0" r="11430" b="15875"/>
            <wp:wrapTopAndBottom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17470" cy="272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4"/>
          <w:szCs w:val="24"/>
        </w:rPr>
        <w:t>*特殊情况：同一年级、同一培养层次符合学校配套标准的学生数为3个，导师可通过点击启发界面中的“不参与”按钮将，轮次调整学生的学校配套资格。</w:t>
      </w:r>
    </w:p>
    <w:p w14:paraId="1DD33929">
      <w:pPr>
        <w:pStyle w:val="2"/>
        <w:spacing w:before="156" w:beforeLines="50" w:after="156" w:afterLines="50"/>
        <w:ind w:firstLine="560" w:firstLineChars="200"/>
        <w:rPr>
          <w:sz w:val="28"/>
          <w:szCs w:val="28"/>
        </w:rPr>
      </w:pPr>
      <w:bookmarkStart w:id="3" w:name="_Toc24482"/>
      <w:r>
        <w:rPr>
          <w:rFonts w:hint="eastAsia"/>
          <w:sz w:val="28"/>
          <w:szCs w:val="28"/>
        </w:rPr>
        <w:t>添加其他学生</w:t>
      </w:r>
      <w:bookmarkEnd w:id="3"/>
    </w:p>
    <w:p w14:paraId="6F2D9013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导师可点击“添加其他学生”按钮，输入学生校园卡号来添加校内任意研究生。如该学生本学期已有助研津贴数据，则不允许添加。</w:t>
      </w:r>
    </w:p>
    <w:p w14:paraId="53110312">
      <w:pPr>
        <w:spacing w:line="360" w:lineRule="auto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6607175" cy="1261110"/>
            <wp:effectExtent l="0" t="0" r="3175" b="152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rcRect b="55092"/>
                    <a:stretch>
                      <a:fillRect/>
                    </a:stretch>
                  </pic:blipFill>
                  <pic:spPr>
                    <a:xfrm>
                      <a:off x="0" y="0"/>
                      <a:ext cx="6944367" cy="126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728EB">
      <w:pPr>
        <w:spacing w:after="312" w:afterLines="100" w:line="40" w:lineRule="atLeast"/>
        <w:rPr>
          <w:szCs w:val="21"/>
        </w:rPr>
      </w:pPr>
      <w:r>
        <w:drawing>
          <wp:inline distT="0" distB="0" distL="0" distR="0">
            <wp:extent cx="2925445" cy="1838325"/>
            <wp:effectExtent l="0" t="0" r="825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rcRect t="6144" b="7581"/>
                    <a:stretch>
                      <a:fillRect/>
                    </a:stretch>
                  </pic:blipFill>
                  <pic:spPr>
                    <a:xfrm>
                      <a:off x="0" y="0"/>
                      <a:ext cx="2966442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60C88">
      <w:pPr>
        <w:pStyle w:val="2"/>
        <w:spacing w:before="156" w:beforeLines="50" w:after="156" w:afterLines="50"/>
        <w:ind w:firstLine="560" w:firstLineChars="200"/>
        <w:rPr>
          <w:sz w:val="28"/>
          <w:szCs w:val="28"/>
        </w:rPr>
      </w:pPr>
      <w:bookmarkStart w:id="4" w:name="_Toc26020"/>
      <w:r>
        <w:rPr>
          <w:rFonts w:hint="eastAsia"/>
          <w:sz w:val="28"/>
          <w:szCs w:val="28"/>
        </w:rPr>
        <w:t>提交到学院审核</w:t>
      </w:r>
      <w:bookmarkEnd w:id="4"/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请务必点击操作</w:t>
      </w:r>
      <w:r>
        <w:rPr>
          <w:rFonts w:hint="eastAsia"/>
          <w:sz w:val="28"/>
          <w:szCs w:val="28"/>
          <w:lang w:eastAsia="zh-CN"/>
        </w:rPr>
        <w:t>）</w:t>
      </w:r>
    </w:p>
    <w:p w14:paraId="52DEBB0D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当前学期需要发放助研津贴的各名学生都完成启发并确认无误后，点击“提交到学院审核”进行提交。</w:t>
      </w:r>
    </w:p>
    <w:p w14:paraId="5CFA56BF">
      <w:pPr>
        <w:spacing w:after="312" w:afterLines="100" w:line="40" w:lineRule="atLeast"/>
      </w:pPr>
      <w:r>
        <w:drawing>
          <wp:inline distT="0" distB="0" distL="0" distR="0">
            <wp:extent cx="6519545" cy="232918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56471" cy="2342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CBF58">
      <w:pPr>
        <w:pStyle w:val="2"/>
        <w:spacing w:before="156" w:beforeLines="50" w:after="156" w:afterLines="50"/>
        <w:ind w:firstLine="560" w:firstLineChars="200"/>
        <w:rPr>
          <w:sz w:val="28"/>
          <w:szCs w:val="28"/>
        </w:rPr>
      </w:pPr>
      <w:bookmarkStart w:id="5" w:name="_Toc64"/>
      <w:r>
        <w:rPr>
          <w:rFonts w:hint="eastAsia"/>
          <w:sz w:val="28"/>
          <w:szCs w:val="28"/>
        </w:rPr>
        <w:t>数据修改/删除</w:t>
      </w:r>
      <w:bookmarkEnd w:id="5"/>
    </w:p>
    <w:p w14:paraId="75CD056D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启发后，在学院未审核之前，导师可通过“修改”操作继续调整导师配套金额（修改金额）和发放起止月份（追加月份、删除月份）。</w:t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3143885</wp:posOffset>
            </wp:positionH>
            <wp:positionV relativeFrom="paragraph">
              <wp:posOffset>3074670</wp:posOffset>
            </wp:positionV>
            <wp:extent cx="1913890" cy="2225675"/>
            <wp:effectExtent l="0" t="0" r="10160" b="3175"/>
            <wp:wrapTopAndBottom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13890" cy="2225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3064510</wp:posOffset>
            </wp:positionV>
            <wp:extent cx="3041015" cy="2296795"/>
            <wp:effectExtent l="0" t="0" r="6985" b="8255"/>
            <wp:wrapTopAndBottom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1015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978535</wp:posOffset>
            </wp:positionV>
            <wp:extent cx="6325235" cy="1921510"/>
            <wp:effectExtent l="0" t="0" r="0" b="2540"/>
            <wp:wrapTopAndBottom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5"/>
                    <a:srcRect b="40573"/>
                    <a:stretch>
                      <a:fillRect/>
                    </a:stretch>
                  </pic:blipFill>
                  <pic:spPr>
                    <a:xfrm>
                      <a:off x="0" y="0"/>
                      <a:ext cx="6325235" cy="19215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/>
          <w:sz w:val="24"/>
          <w:szCs w:val="24"/>
        </w:rPr>
        <w:t>如下图所示：</w:t>
      </w:r>
    </w:p>
    <w:p w14:paraId="70D86043">
      <w:pPr>
        <w:pStyle w:val="2"/>
        <w:spacing w:before="156" w:beforeLines="50" w:after="156" w:afterLines="50"/>
        <w:ind w:firstLine="560" w:firstLineChars="200"/>
        <w:rPr>
          <w:sz w:val="28"/>
          <w:szCs w:val="28"/>
        </w:rPr>
      </w:pPr>
      <w:bookmarkStart w:id="6" w:name="_Toc5561"/>
      <w:r>
        <w:rPr>
          <w:rFonts w:hint="eastAsia"/>
          <w:sz w:val="28"/>
          <w:szCs w:val="28"/>
        </w:rPr>
        <w:t>发放记录查看</w:t>
      </w:r>
      <w:bookmarkEnd w:id="6"/>
    </w:p>
    <w:p w14:paraId="39B8DECB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654050</wp:posOffset>
            </wp:positionV>
            <wp:extent cx="6645910" cy="1943100"/>
            <wp:effectExtent l="0" t="0" r="2540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39370</wp:posOffset>
            </wp:positionH>
            <wp:positionV relativeFrom="paragraph">
              <wp:posOffset>657225</wp:posOffset>
            </wp:positionV>
            <wp:extent cx="3347085" cy="2655570"/>
            <wp:effectExtent l="0" t="0" r="5715" b="1143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47085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4"/>
          <w:szCs w:val="24"/>
        </w:rPr>
        <w:t>完成启发的学生条目，可点击“查看”按钮，查看该生助研津贴的发放明细。点击“查看学生信息”，可查看该生的个人信息。如下图所示：</w:t>
      </w:r>
    </w:p>
    <w:p w14:paraId="33889ACA">
      <w:pPr>
        <w:pStyle w:val="2"/>
        <w:spacing w:before="156" w:beforeLines="50" w:after="156" w:afterLines="50"/>
        <w:ind w:firstLine="560" w:firstLineChars="200"/>
        <w:rPr>
          <w:rFonts w:hint="eastAsia"/>
          <w:sz w:val="28"/>
          <w:szCs w:val="28"/>
        </w:rPr>
      </w:pPr>
      <w:bookmarkStart w:id="7" w:name="_Toc9174"/>
      <w:r>
        <w:rPr>
          <w:rFonts w:hint="eastAsia"/>
          <w:sz w:val="28"/>
          <w:szCs w:val="28"/>
        </w:rPr>
        <w:t>系统助理设置</w:t>
      </w:r>
      <w:bookmarkEnd w:id="7"/>
    </w:p>
    <w:p w14:paraId="095604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在助研津贴开展过程中</w:t>
      </w:r>
      <w:r>
        <w:rPr>
          <w:rFonts w:hint="eastAsia" w:ascii="宋体" w:hAnsi="宋体" w:eastAsia="宋体" w:cs="宋体"/>
          <w:sz w:val="24"/>
          <w:szCs w:val="24"/>
        </w:rPr>
        <w:t>如有特殊需求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导师可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设置</w:t>
      </w:r>
      <w:r>
        <w:rPr>
          <w:rFonts w:hint="eastAsia" w:ascii="宋体" w:hAnsi="宋体" w:eastAsia="宋体" w:cs="宋体"/>
          <w:sz w:val="24"/>
          <w:szCs w:val="24"/>
        </w:rPr>
        <w:t>“账户助理”代为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操作（慎用）</w:t>
      </w:r>
      <w:r>
        <w:rPr>
          <w:rFonts w:hint="eastAsia" w:ascii="宋体" w:hAnsi="宋体" w:eastAsia="宋体" w:cs="宋体"/>
          <w:sz w:val="24"/>
          <w:szCs w:val="24"/>
        </w:rPr>
        <w:t>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在“研综系统</w:t>
      </w:r>
      <w:r>
        <w:rPr>
          <w:rFonts w:hint="eastAsia" w:ascii="宋体" w:hAnsi="宋体" w:eastAsia="宋体" w:cs="宋体"/>
          <w:sz w:val="24"/>
          <w:szCs w:val="24"/>
        </w:rPr>
        <w:t>首页-系统助理模块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”下</w:t>
      </w:r>
      <w:r>
        <w:rPr>
          <w:rFonts w:hint="eastAsia" w:ascii="宋体" w:hAnsi="宋体" w:eastAsia="宋体" w:cs="宋体"/>
          <w:sz w:val="24"/>
          <w:szCs w:val="24"/>
        </w:rPr>
        <w:t>设置添加助理账号。</w:t>
      </w:r>
    </w:p>
    <w:p w14:paraId="4D1B39D2">
      <w:r>
        <w:drawing>
          <wp:inline distT="0" distB="0" distL="0" distR="0">
            <wp:extent cx="6645910" cy="2472690"/>
            <wp:effectExtent l="0" t="0" r="2540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7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BDFA6">
      <w:pPr>
        <w:spacing w:line="360" w:lineRule="auto"/>
        <w:ind w:firstLine="420" w:firstLineChars="200"/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0" distR="0">
            <wp:extent cx="1746885" cy="2237105"/>
            <wp:effectExtent l="0" t="0" r="571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53227" cy="2245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4" w:type="default"/>
      <w:pgSz w:w="11906" w:h="16838"/>
      <w:pgMar w:top="720" w:right="720" w:bottom="720" w:left="720" w:header="227" w:footer="454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D5A84A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493A7B"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JScb8r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yUnG/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493A7B"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7BF14E">
    <w:pPr>
      <w:adjustRightInd w:val="0"/>
      <w:snapToGrid w:val="0"/>
      <w:jc w:val="center"/>
      <w:rPr>
        <w:sz w:val="18"/>
      </w:rPr>
    </w:pPr>
    <w:r>
      <w:rPr>
        <w:rFonts w:hint="eastAsia"/>
        <w:sz w:val="18"/>
      </w:rPr>
      <w:t>“研综系统”助研津贴操作流程-导师部分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FF4543"/>
    <w:multiLevelType w:val="singleLevel"/>
    <w:tmpl w:val="5DFF4543"/>
    <w:lvl w:ilvl="0" w:tentative="0">
      <w:start w:val="1"/>
      <w:numFmt w:val="chineseCounting"/>
      <w:pStyle w:val="2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zYzYyY2U2MWEyN2Y5OTQwMDkzYmRjYmIxZTEzNGUifQ=="/>
  </w:docVars>
  <w:rsids>
    <w:rsidRoot w:val="00020862"/>
    <w:rsid w:val="00020862"/>
    <w:rsid w:val="000221B0"/>
    <w:rsid w:val="00026EA0"/>
    <w:rsid w:val="00067CF1"/>
    <w:rsid w:val="00085985"/>
    <w:rsid w:val="00094AE4"/>
    <w:rsid w:val="00097273"/>
    <w:rsid w:val="000A1058"/>
    <w:rsid w:val="000D0E80"/>
    <w:rsid w:val="00116D94"/>
    <w:rsid w:val="001221AD"/>
    <w:rsid w:val="00157A6B"/>
    <w:rsid w:val="0017794E"/>
    <w:rsid w:val="00193D93"/>
    <w:rsid w:val="001C7A5C"/>
    <w:rsid w:val="001E17ED"/>
    <w:rsid w:val="001E6F6E"/>
    <w:rsid w:val="00217B83"/>
    <w:rsid w:val="00235179"/>
    <w:rsid w:val="00236236"/>
    <w:rsid w:val="00241DCE"/>
    <w:rsid w:val="00257D67"/>
    <w:rsid w:val="002A2C64"/>
    <w:rsid w:val="002C0B17"/>
    <w:rsid w:val="002C4AAC"/>
    <w:rsid w:val="002F10CD"/>
    <w:rsid w:val="00331545"/>
    <w:rsid w:val="00332654"/>
    <w:rsid w:val="00357530"/>
    <w:rsid w:val="00376662"/>
    <w:rsid w:val="00383EB4"/>
    <w:rsid w:val="003B24E6"/>
    <w:rsid w:val="003B47A3"/>
    <w:rsid w:val="003B7058"/>
    <w:rsid w:val="003C0504"/>
    <w:rsid w:val="003D733E"/>
    <w:rsid w:val="003E498E"/>
    <w:rsid w:val="003F1FC1"/>
    <w:rsid w:val="003F3589"/>
    <w:rsid w:val="0040351F"/>
    <w:rsid w:val="00421DFD"/>
    <w:rsid w:val="00426A0A"/>
    <w:rsid w:val="00440157"/>
    <w:rsid w:val="00443A96"/>
    <w:rsid w:val="004655AD"/>
    <w:rsid w:val="004722A1"/>
    <w:rsid w:val="00481D6A"/>
    <w:rsid w:val="00485063"/>
    <w:rsid w:val="0049492B"/>
    <w:rsid w:val="00494A62"/>
    <w:rsid w:val="004C39D0"/>
    <w:rsid w:val="004E254E"/>
    <w:rsid w:val="004E2908"/>
    <w:rsid w:val="004E573B"/>
    <w:rsid w:val="004F1169"/>
    <w:rsid w:val="004F4F85"/>
    <w:rsid w:val="005150DC"/>
    <w:rsid w:val="00515F34"/>
    <w:rsid w:val="005317B3"/>
    <w:rsid w:val="005473FD"/>
    <w:rsid w:val="0055537E"/>
    <w:rsid w:val="00586612"/>
    <w:rsid w:val="00590B62"/>
    <w:rsid w:val="00597BCC"/>
    <w:rsid w:val="005B6EE5"/>
    <w:rsid w:val="00602868"/>
    <w:rsid w:val="0063605A"/>
    <w:rsid w:val="006827D2"/>
    <w:rsid w:val="00682BD4"/>
    <w:rsid w:val="006A7F88"/>
    <w:rsid w:val="006C147C"/>
    <w:rsid w:val="006E0A92"/>
    <w:rsid w:val="006E1960"/>
    <w:rsid w:val="006F4673"/>
    <w:rsid w:val="007437B6"/>
    <w:rsid w:val="00751AF5"/>
    <w:rsid w:val="00752BEA"/>
    <w:rsid w:val="00753CB4"/>
    <w:rsid w:val="00763363"/>
    <w:rsid w:val="0076435C"/>
    <w:rsid w:val="00784AEC"/>
    <w:rsid w:val="00794D8A"/>
    <w:rsid w:val="007A3EF5"/>
    <w:rsid w:val="007E3C6F"/>
    <w:rsid w:val="007E4756"/>
    <w:rsid w:val="0081317F"/>
    <w:rsid w:val="008473C5"/>
    <w:rsid w:val="00861342"/>
    <w:rsid w:val="008777B9"/>
    <w:rsid w:val="00890E0D"/>
    <w:rsid w:val="008A2E0B"/>
    <w:rsid w:val="008A6C53"/>
    <w:rsid w:val="008C528F"/>
    <w:rsid w:val="008F1720"/>
    <w:rsid w:val="008F1883"/>
    <w:rsid w:val="008F6EB5"/>
    <w:rsid w:val="00902553"/>
    <w:rsid w:val="00933A77"/>
    <w:rsid w:val="00965822"/>
    <w:rsid w:val="009F028A"/>
    <w:rsid w:val="00A561DB"/>
    <w:rsid w:val="00A74663"/>
    <w:rsid w:val="00AB5F85"/>
    <w:rsid w:val="00AC688D"/>
    <w:rsid w:val="00AF3A3E"/>
    <w:rsid w:val="00AF5A3C"/>
    <w:rsid w:val="00B5146B"/>
    <w:rsid w:val="00B54BBC"/>
    <w:rsid w:val="00B66AE4"/>
    <w:rsid w:val="00B748F2"/>
    <w:rsid w:val="00B86410"/>
    <w:rsid w:val="00BC67F4"/>
    <w:rsid w:val="00BD3180"/>
    <w:rsid w:val="00C110B5"/>
    <w:rsid w:val="00C17838"/>
    <w:rsid w:val="00C25599"/>
    <w:rsid w:val="00C3743B"/>
    <w:rsid w:val="00C70C84"/>
    <w:rsid w:val="00C7579F"/>
    <w:rsid w:val="00CC0206"/>
    <w:rsid w:val="00CD512A"/>
    <w:rsid w:val="00CF707C"/>
    <w:rsid w:val="00D20AB4"/>
    <w:rsid w:val="00D221E2"/>
    <w:rsid w:val="00D314E9"/>
    <w:rsid w:val="00D43E30"/>
    <w:rsid w:val="00D52B81"/>
    <w:rsid w:val="00D52E56"/>
    <w:rsid w:val="00D720FF"/>
    <w:rsid w:val="00D919D1"/>
    <w:rsid w:val="00DA220E"/>
    <w:rsid w:val="00DC1448"/>
    <w:rsid w:val="00E01F6A"/>
    <w:rsid w:val="00E1588A"/>
    <w:rsid w:val="00E16F66"/>
    <w:rsid w:val="00E4219A"/>
    <w:rsid w:val="00E85463"/>
    <w:rsid w:val="00EA0F28"/>
    <w:rsid w:val="00EA4D44"/>
    <w:rsid w:val="00EC47A5"/>
    <w:rsid w:val="00F239C6"/>
    <w:rsid w:val="00F27B82"/>
    <w:rsid w:val="00F333C5"/>
    <w:rsid w:val="00F375D1"/>
    <w:rsid w:val="00F51A9E"/>
    <w:rsid w:val="00F80BCA"/>
    <w:rsid w:val="00F87093"/>
    <w:rsid w:val="00FB5A19"/>
    <w:rsid w:val="00FC6684"/>
    <w:rsid w:val="00FC6E2F"/>
    <w:rsid w:val="00FF339E"/>
    <w:rsid w:val="00FF3434"/>
    <w:rsid w:val="07ED7BBB"/>
    <w:rsid w:val="08B37AB0"/>
    <w:rsid w:val="0BAB5F64"/>
    <w:rsid w:val="11863DB3"/>
    <w:rsid w:val="158734A3"/>
    <w:rsid w:val="16F52359"/>
    <w:rsid w:val="1796182D"/>
    <w:rsid w:val="1AE64EFC"/>
    <w:rsid w:val="1B3A65A0"/>
    <w:rsid w:val="201B53C3"/>
    <w:rsid w:val="2FE97292"/>
    <w:rsid w:val="320F5AAA"/>
    <w:rsid w:val="33C957A6"/>
    <w:rsid w:val="3ACA4F9D"/>
    <w:rsid w:val="4AE44460"/>
    <w:rsid w:val="4E5D00E0"/>
    <w:rsid w:val="531B3744"/>
    <w:rsid w:val="54041F03"/>
    <w:rsid w:val="63580649"/>
    <w:rsid w:val="64911DE0"/>
    <w:rsid w:val="65342C83"/>
    <w:rsid w:val="6A095516"/>
    <w:rsid w:val="70E96D1F"/>
    <w:rsid w:val="73681680"/>
    <w:rsid w:val="77FA30F3"/>
    <w:rsid w:val="78267297"/>
    <w:rsid w:val="7A95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autoRedefine/>
    <w:qFormat/>
    <w:uiPriority w:val="9"/>
    <w:pPr>
      <w:keepNext/>
      <w:keepLines/>
      <w:numPr>
        <w:ilvl w:val="0"/>
        <w:numId w:val="1"/>
      </w:numPr>
      <w:spacing w:before="340" w:after="312" w:afterLines="100" w:line="40" w:lineRule="atLeast"/>
      <w:outlineLvl w:val="0"/>
    </w:pPr>
    <w:rPr>
      <w:b/>
      <w:kern w:val="44"/>
      <w:sz w:val="24"/>
      <w:szCs w:val="2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6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oc 1"/>
    <w:basedOn w:val="1"/>
    <w:next w:val="1"/>
    <w:autoRedefine/>
    <w:unhideWhenUsed/>
    <w:qFormat/>
    <w:uiPriority w:val="39"/>
  </w:style>
  <w:style w:type="paragraph" w:styleId="9">
    <w:name w:val="toc 2"/>
    <w:basedOn w:val="1"/>
    <w:next w:val="1"/>
    <w:semiHidden/>
    <w:unhideWhenUsed/>
    <w:qFormat/>
    <w:uiPriority w:val="39"/>
    <w:pPr>
      <w:ind w:left="420" w:leftChars="200"/>
    </w:pPr>
  </w:style>
  <w:style w:type="character" w:styleId="12">
    <w:name w:val="Hyperlink"/>
    <w:basedOn w:val="11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5">
    <w:name w:val="WPSOffice手动目录 1"/>
    <w:autoRedefine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16">
    <w:name w:val="WPSOffice手动目录 2"/>
    <w:qFormat/>
    <w:uiPriority w:val="0"/>
    <w:pPr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17">
    <w:name w:val="WPSOffice手动目录 3"/>
    <w:qFormat/>
    <w:uiPriority w:val="0"/>
    <w:pPr>
      <w:ind w:left="400" w:leftChars="400"/>
    </w:pPr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18">
    <w:name w:val="标题 1 字符"/>
    <w:basedOn w:val="11"/>
    <w:link w:val="2"/>
    <w:autoRedefine/>
    <w:qFormat/>
    <w:uiPriority w:val="9"/>
    <w:rPr>
      <w:b/>
      <w:kern w:val="44"/>
      <w:sz w:val="24"/>
      <w:szCs w:val="24"/>
    </w:rPr>
  </w:style>
  <w:style w:type="character" w:customStyle="1" w:styleId="19">
    <w:name w:val="标题 3 字符"/>
    <w:basedOn w:val="11"/>
    <w:link w:val="4"/>
    <w:autoRedefine/>
    <w:qFormat/>
    <w:uiPriority w:val="9"/>
    <w:rPr>
      <w:b/>
      <w:kern w:val="2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xulh</Company>
  <Pages>6</Pages>
  <Words>832</Words>
  <Characters>853</Characters>
  <Lines>10</Lines>
  <Paragraphs>2</Paragraphs>
  <TotalTime>13</TotalTime>
  <ScaleCrop>false</ScaleCrop>
  <LinksUpToDate>false</LinksUpToDate>
  <CharactersWithSpaces>887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2023-02-27T10:43:00Z</dcterms:created>
  <dc:creator>xlh</dc:creator>
  <cp:lastModifiedBy>James</cp:lastModifiedBy>
  <dcterms:modified xsi:type="dcterms:W3CDTF">2024-07-31T09:53:11Z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277DABD8F87E4FE5B3FAA9DFE25537CE</vt:lpwstr>
  </property>
</Properties>
</file>